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河北省三河市文化馆</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河北省三河市文化馆</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autoSpaceDE w:val="0"/>
        <w:autoSpaceDN w:val="0"/>
        <w:adjustRightInd w:val="0"/>
        <w:spacing w:line="584" w:lineRule="exact"/>
        <w:ind w:firstLine="627" w:firstLineChars="196"/>
        <w:jc w:val="left"/>
        <w:rPr>
          <w:rFonts w:hint="eastAsia" w:ascii="仿宋" w:hAnsi="仿宋" w:eastAsia="仿宋"/>
          <w:sz w:val="32"/>
          <w:szCs w:val="32"/>
        </w:rPr>
      </w:pPr>
      <w:r>
        <w:rPr>
          <w:rFonts w:hint="eastAsia" w:ascii="仿宋" w:hAnsi="仿宋" w:eastAsia="仿宋"/>
          <w:sz w:val="32"/>
          <w:szCs w:val="32"/>
        </w:rPr>
        <w:t>组织群众文化活动，繁荣群众文化事业。文化宣传、文艺活动组织及相关培训、业余创作团体管理、业余文艺创作组织、村级文化室业务指导、群众文艺理论研究、文化交流、大众科普资料编辑、民族民间文化艺术遗产收集整理与保护。</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21"/>
        <w:gridCol w:w="2655"/>
        <w:gridCol w:w="1277"/>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2921"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2655"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2921" w:type="dxa"/>
            <w:vMerge w:val="continue"/>
            <w:shd w:val="clear" w:color="auto" w:fill="auto"/>
            <w:vAlign w:val="center"/>
          </w:tcPr>
          <w:p/>
        </w:tc>
        <w:tc>
          <w:tcPr>
            <w:tcW w:w="2655" w:type="dxa"/>
            <w:vMerge w:val="continue"/>
            <w:shd w:val="clear" w:color="auto" w:fill="auto"/>
            <w:vAlign w:val="center"/>
          </w:tcPr>
          <w:p/>
        </w:tc>
        <w:tc>
          <w:tcPr>
            <w:tcW w:w="1277"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921" w:type="dxa"/>
            <w:shd w:val="clear" w:color="auto" w:fill="auto"/>
            <w:vAlign w:val="center"/>
          </w:tcPr>
          <w:p>
            <w:pPr>
              <w:spacing w:line="560" w:lineRule="exact"/>
              <w:rPr>
                <w:rFonts w:ascii="Times New Roman" w:hAnsi="Times New Roman" w:eastAsia="仿宋_GB2312" w:cs="Times New Roman"/>
                <w:b/>
              </w:rPr>
            </w:pPr>
            <w:r>
              <w:rPr>
                <w:rFonts w:hint="eastAsia" w:ascii="仿宋_GB2312" w:hAnsi="Cambria" w:eastAsia="仿宋_GB2312" w:cs="ArialUnicodeMS"/>
                <w:kern w:val="0"/>
                <w:sz w:val="28"/>
                <w:szCs w:val="28"/>
              </w:rPr>
              <w:t>河北省三河市文化馆</w:t>
            </w:r>
          </w:p>
        </w:tc>
        <w:tc>
          <w:tcPr>
            <w:tcW w:w="2655" w:type="dxa"/>
            <w:shd w:val="clear" w:color="auto" w:fill="auto"/>
            <w:vAlign w:val="center"/>
          </w:tcPr>
          <w:p>
            <w:pPr>
              <w:spacing w:line="560" w:lineRule="exact"/>
              <w:jc w:val="center"/>
              <w:rPr>
                <w:rFonts w:ascii="Times New Roman" w:hAnsi="Times New Roman" w:eastAsia="仿宋_GB2312" w:cs="Times New Roman"/>
                <w:b/>
              </w:rPr>
            </w:pPr>
            <w:r>
              <w:rPr>
                <w:rFonts w:hint="eastAsia" w:ascii="仿宋_GB2312" w:hAnsi="Cambria" w:eastAsia="仿宋_GB2312" w:cs="ArialUnicodeMS"/>
                <w:kern w:val="0"/>
                <w:sz w:val="28"/>
                <w:szCs w:val="28"/>
              </w:rPr>
              <w:t>财政补助事业</w:t>
            </w:r>
          </w:p>
        </w:tc>
        <w:tc>
          <w:tcPr>
            <w:tcW w:w="1277" w:type="dxa"/>
            <w:shd w:val="clear" w:color="auto" w:fill="auto"/>
            <w:vAlign w:val="center"/>
          </w:tcPr>
          <w:p>
            <w:pPr>
              <w:spacing w:line="560" w:lineRule="exact"/>
              <w:jc w:val="center"/>
              <w:rPr>
                <w:rFonts w:ascii="Times New Roman" w:hAnsi="Times New Roman" w:eastAsia="仿宋_GB2312" w:cs="Times New Roman"/>
                <w:b/>
              </w:rPr>
            </w:pPr>
            <w:r>
              <w:rPr>
                <w:rFonts w:hint="eastAsia" w:ascii="仿宋_GB2312" w:hAnsi="Cambria" w:eastAsia="仿宋_GB2312" w:cs="ArialUnicodeMS"/>
                <w:kern w:val="0"/>
                <w:sz w:val="28"/>
                <w:szCs w:val="28"/>
              </w:rPr>
              <w:t>股级</w:t>
            </w:r>
          </w:p>
        </w:tc>
        <w:tc>
          <w:tcPr>
            <w:tcW w:w="2902" w:type="dxa"/>
            <w:shd w:val="clear" w:color="auto" w:fill="auto"/>
            <w:vAlign w:val="center"/>
          </w:tcPr>
          <w:p>
            <w:pPr>
              <w:spacing w:line="440" w:lineRule="exact"/>
              <w:jc w:val="center"/>
              <w:rPr>
                <w:rFonts w:ascii="Times New Roman" w:hAnsi="Times New Roman" w:eastAsia="仿宋_GB2312" w:cs="Times New Roman"/>
                <w:b/>
              </w:rPr>
            </w:pPr>
            <w:r>
              <w:rPr>
                <w:rFonts w:hint="eastAsia" w:ascii="仿宋_GB2312" w:hAnsi="Cambria" w:eastAsia="仿宋_GB2312" w:cs="ArialUnicodeMS"/>
                <w:kern w:val="0"/>
                <w:sz w:val="28"/>
                <w:szCs w:val="28"/>
              </w:rPr>
              <w:t>财政性资金基金保证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河北省三河市文化馆的</w:t>
      </w:r>
      <w:r>
        <w:rPr>
          <w:rFonts w:ascii="Times New Roman" w:hAnsi="Times New Roman" w:eastAsia="仿宋_GB2312" w:cs="Times New Roman"/>
          <w:sz w:val="32"/>
          <w:szCs w:val="32"/>
        </w:rPr>
        <w:t>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339.64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339.64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河北省三河市文化馆</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339.64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190.04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183.96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6.08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149.6</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劳务费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专用材料费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租赁费、委托业务费</w:t>
      </w:r>
      <w:r>
        <w:rPr>
          <w:rFonts w:ascii="Times New Roman" w:hAnsi="Times New Roman" w:eastAsia="仿宋_GB2312" w:cs="Times New Roman"/>
          <w:sz w:val="32"/>
          <w:szCs w:val="32"/>
        </w:rPr>
        <w:t>等；上缴上级支出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339.64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109.94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24.94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85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文化馆评估</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单位公用经费安排情况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6.08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日常办公费、邮电费、工会经费、福利</w:t>
      </w:r>
      <w:r>
        <w:rPr>
          <w:rFonts w:ascii="Times New Roman" w:hAnsi="Times New Roman" w:eastAsia="仿宋_GB2312" w:cs="Times New Roman"/>
          <w:sz w:val="32"/>
          <w:szCs w:val="32"/>
        </w:rPr>
        <w:t>费等日常运行支出。</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0.08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0.08</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0.02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无增减变化</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0.08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0.02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pPr>
      <w:r>
        <w:t>坚持以习近平新时代中国特色社会主义思想为统领，在</w:t>
      </w:r>
      <w:r>
        <w:rPr>
          <w:rFonts w:hint="eastAsia"/>
          <w:lang w:eastAsia="zh-CN"/>
        </w:rPr>
        <w:t>市文广旅局的</w:t>
      </w:r>
      <w:r>
        <w:t>正确领导下，深入贯彻落实党的“不忘初心、牢记使命”主题教育精神，坚持以社会主义核心价值观引领</w:t>
      </w:r>
      <w:r>
        <w:rPr>
          <w:rFonts w:hint="eastAsia"/>
          <w:lang w:eastAsia="zh-CN"/>
        </w:rPr>
        <w:t>群众文化</w:t>
      </w:r>
      <w:r>
        <w:t>建设，坚持以科学规划指引</w:t>
      </w:r>
      <w:r>
        <w:rPr>
          <w:rFonts w:hint="eastAsia"/>
          <w:lang w:eastAsia="zh-CN"/>
        </w:rPr>
        <w:t>文化</w:t>
      </w:r>
      <w:r>
        <w:t>产业发展，贯彻国家和省、市关于</w:t>
      </w:r>
      <w:r>
        <w:rPr>
          <w:rFonts w:hint="eastAsia"/>
          <w:lang w:eastAsia="zh-CN"/>
        </w:rPr>
        <w:t>群众文化</w:t>
      </w:r>
      <w:r>
        <w:t>工作的方针、政策和法规，指导、管理全市</w:t>
      </w:r>
      <w:r>
        <w:rPr>
          <w:rFonts w:hint="eastAsia"/>
          <w:lang w:eastAsia="zh-CN"/>
        </w:rPr>
        <w:t>群众文化</w:t>
      </w:r>
      <w:r>
        <w:t>事业，指导艺术创作与生产，推动各门类艺术的发展，计划完成“民星大舞台”10场、主题书画影展等文化活动品牌。</w:t>
      </w:r>
      <w:r>
        <w:rPr>
          <w:rFonts w:hint="eastAsia"/>
        </w:rPr>
        <w:t>举办免费开放活动，组织举办各类文化艺术赛事，举办各类书画影展览展示活动，展示和传承优秀非物质文化遗产项目</w:t>
      </w:r>
      <w:r>
        <w:rPr>
          <w:rFonts w:hint="eastAsia"/>
          <w:lang w:eastAsia="zh-CN"/>
        </w:rPr>
        <w:t>及</w:t>
      </w:r>
      <w:r>
        <w:t>“我们的节日”等系列</w:t>
      </w:r>
      <w:r>
        <w:rPr>
          <w:rFonts w:hint="eastAsia"/>
          <w:lang w:eastAsia="zh-CN"/>
        </w:rPr>
        <w:t>文化</w:t>
      </w:r>
      <w:r>
        <w:t>主题活动。开展系列群众文化大培训、文艺拔尖人才培训等。坚持文化艺术服务人民、服务基层、服务市委、市政府中心工作，2022年我</w:t>
      </w:r>
      <w:r>
        <w:rPr>
          <w:rFonts w:hint="eastAsia"/>
          <w:lang w:eastAsia="zh-CN"/>
        </w:rPr>
        <w:t>单位</w:t>
      </w:r>
      <w:r>
        <w:t>继续推动和促进</w:t>
      </w:r>
      <w:r>
        <w:rPr>
          <w:rFonts w:hint="eastAsia"/>
          <w:lang w:eastAsia="zh-CN"/>
        </w:rPr>
        <w:t>群众</w:t>
      </w:r>
      <w:r>
        <w:t xml:space="preserve">文化各项工作全面进步，为全市政治、经济和社会全面发展做出应有的贡献。 </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ind w:firstLine="560" w:firstLineChars="200"/>
        <w:jc w:val="left"/>
        <w:outlineLvl w:val="1"/>
      </w:pPr>
      <w:r>
        <w:rPr>
          <w:rFonts w:ascii="Calibri" w:hAnsi="Calibri" w:eastAsia="宋体" w:cs="Arial"/>
          <w:kern w:val="2"/>
          <w:sz w:val="28"/>
          <w:szCs w:val="22"/>
          <w:lang w:val="en-US" w:eastAsia="zh-CN" w:bidi="ar-SA"/>
        </w:rPr>
        <w:t>1.文化馆公共文化服务体系本级配套资金，文化艺术活动及展览展示经费绩效目标</w:t>
      </w:r>
    </w:p>
    <w:p>
      <w:pPr>
        <w:pStyle w:val="14"/>
        <w:ind w:firstLine="560" w:firstLineChars="200"/>
        <w:rPr>
          <w:rFonts w:hint="eastAsia" w:ascii="Calibri" w:hAnsi="Calibri" w:eastAsia="宋体" w:cs="Arial"/>
          <w:kern w:val="2"/>
          <w:sz w:val="28"/>
          <w:szCs w:val="22"/>
          <w:lang w:val="en-US" w:eastAsia="zh-CN" w:bidi="ar-SA"/>
        </w:rPr>
      </w:pPr>
      <w:r>
        <w:rPr>
          <w:rFonts w:ascii="Calibri" w:hAnsi="Calibri" w:eastAsia="宋体" w:cs="Arial"/>
          <w:kern w:val="2"/>
          <w:sz w:val="28"/>
          <w:szCs w:val="22"/>
          <w:lang w:val="en-US" w:eastAsia="zh-CN" w:bidi="ar-SA"/>
        </w:rPr>
        <w:t>绩效目标：通过开展免费开放活动，提高我市文化水平，使我市文化作品不断产生和提高</w:t>
      </w:r>
      <w:r>
        <w:rPr>
          <w:rFonts w:hint="eastAsia" w:ascii="Calibri" w:hAnsi="Calibri" w:eastAsia="宋体" w:cs="Arial"/>
          <w:kern w:val="2"/>
          <w:sz w:val="28"/>
          <w:szCs w:val="22"/>
          <w:lang w:val="en-US" w:eastAsia="zh-CN" w:bidi="ar-SA"/>
        </w:rPr>
        <w:t>，</w:t>
      </w:r>
      <w:r>
        <w:rPr>
          <w:rFonts w:ascii="Calibri" w:hAnsi="Calibri" w:eastAsia="宋体" w:cs="Arial"/>
          <w:kern w:val="2"/>
          <w:sz w:val="28"/>
          <w:szCs w:val="22"/>
          <w:lang w:val="en-US" w:eastAsia="zh-CN" w:bidi="ar-SA"/>
        </w:rPr>
        <w:t>使全市基本公共文化服务标准化、均等化。</w:t>
      </w:r>
    </w:p>
    <w:p>
      <w:pPr>
        <w:pStyle w:val="20"/>
      </w:pPr>
      <w:r>
        <w:t>绩效指标：</w:t>
      </w:r>
      <w:r>
        <w:rPr>
          <w:rFonts w:hint="eastAsia"/>
          <w:lang w:eastAsia="zh-CN"/>
        </w:rPr>
        <w:t>（</w:t>
      </w:r>
      <w:r>
        <w:t>1</w:t>
      </w:r>
      <w:r>
        <w:rPr>
          <w:rFonts w:hint="eastAsia"/>
          <w:lang w:eastAsia="zh-CN"/>
        </w:rPr>
        <w:t>）</w:t>
      </w:r>
      <w:r>
        <w:t>数量指标：全年预计完成</w:t>
      </w:r>
      <w:r>
        <w:rPr>
          <w:rFonts w:hint="eastAsia"/>
          <w:lang w:eastAsia="zh-CN"/>
        </w:rPr>
        <w:t>“民星大舞台”活动</w:t>
      </w:r>
      <w:r>
        <w:rPr>
          <w:rFonts w:hint="eastAsia"/>
          <w:lang w:val="en-US" w:eastAsia="zh-CN"/>
        </w:rPr>
        <w:t>1</w:t>
      </w:r>
      <w:r>
        <w:t>0场。</w:t>
      </w:r>
      <w:r>
        <w:rPr>
          <w:rFonts w:hint="eastAsia"/>
          <w:lang w:eastAsia="zh-CN"/>
        </w:rPr>
        <w:t>（</w:t>
      </w:r>
      <w:r>
        <w:rPr>
          <w:rFonts w:hint="eastAsia"/>
          <w:lang w:val="en-US" w:eastAsia="zh-CN"/>
        </w:rPr>
        <w:t>2</w:t>
      </w:r>
      <w:r>
        <w:rPr>
          <w:rFonts w:hint="eastAsia"/>
          <w:lang w:eastAsia="zh-CN"/>
        </w:rPr>
        <w:t>）</w:t>
      </w:r>
      <w:r>
        <w:t>成本指标：单场演出成本控制在</w:t>
      </w:r>
      <w:r>
        <w:rPr>
          <w:rFonts w:hint="eastAsia"/>
          <w:lang w:val="en-US" w:eastAsia="zh-CN"/>
        </w:rPr>
        <w:t>1</w:t>
      </w:r>
      <w:r>
        <w:t>万元。</w:t>
      </w:r>
    </w:p>
    <w:p>
      <w:pPr>
        <w:pStyle w:val="20"/>
        <w:numPr>
          <w:ilvl w:val="0"/>
          <w:numId w:val="1"/>
        </w:numPr>
        <w:rPr>
          <w:color w:val="000000"/>
          <w:sz w:val="28"/>
        </w:rPr>
      </w:pPr>
      <w:r>
        <w:rPr>
          <w:color w:val="000000"/>
          <w:sz w:val="28"/>
        </w:rPr>
        <w:t>文化活动经费绩效目标</w:t>
      </w:r>
    </w:p>
    <w:p>
      <w:pPr>
        <w:pStyle w:val="14"/>
        <w:ind w:firstLine="560" w:firstLineChars="200"/>
        <w:rPr>
          <w:rFonts w:hint="eastAsia" w:ascii="Calibri" w:hAnsi="Calibri" w:eastAsia="宋体" w:cs="Arial"/>
          <w:kern w:val="2"/>
          <w:sz w:val="28"/>
          <w:szCs w:val="22"/>
          <w:lang w:val="en-US" w:eastAsia="zh-CN" w:bidi="ar-SA"/>
        </w:rPr>
      </w:pPr>
      <w:r>
        <w:rPr>
          <w:rFonts w:ascii="Calibri" w:hAnsi="Calibri" w:eastAsia="宋体" w:cs="Arial"/>
          <w:kern w:val="2"/>
          <w:sz w:val="28"/>
          <w:szCs w:val="22"/>
          <w:lang w:val="en-US" w:eastAsia="zh-CN" w:bidi="ar-SA"/>
        </w:rPr>
        <w:t>绩效目标：通过各类培训、展览展示活动，提高我市文化水平，使我市文化作品不断产生和提高，使全市基本公共文化服务标准化、均等化</w:t>
      </w:r>
      <w:r>
        <w:rPr>
          <w:rFonts w:hint="eastAsia" w:ascii="Calibri" w:hAnsi="Calibri" w:eastAsia="宋体" w:cs="Arial"/>
          <w:kern w:val="2"/>
          <w:sz w:val="28"/>
          <w:szCs w:val="22"/>
          <w:lang w:val="en-US" w:eastAsia="zh-CN" w:bidi="ar-SA"/>
        </w:rPr>
        <w:t>；</w:t>
      </w:r>
      <w:r>
        <w:rPr>
          <w:rFonts w:ascii="Calibri" w:hAnsi="Calibri" w:eastAsia="宋体" w:cs="Arial"/>
          <w:kern w:val="2"/>
          <w:sz w:val="28"/>
          <w:szCs w:val="22"/>
          <w:lang w:val="en-US" w:eastAsia="zh-CN" w:bidi="ar-SA"/>
        </w:rPr>
        <w:t>通过举办各种比赛，使我市专业艺术创作生产能力不断提高。</w:t>
      </w:r>
    </w:p>
    <w:p>
      <w:pPr>
        <w:pStyle w:val="14"/>
        <w:ind w:firstLine="560" w:firstLineChars="200"/>
        <w:rPr>
          <w:color w:val="000000"/>
          <w:sz w:val="28"/>
        </w:rPr>
      </w:pPr>
      <w:r>
        <w:rPr>
          <w:rFonts w:ascii="Calibri" w:hAnsi="Calibri" w:eastAsia="宋体" w:cs="Arial"/>
          <w:kern w:val="2"/>
          <w:sz w:val="28"/>
          <w:szCs w:val="22"/>
          <w:lang w:val="en-US" w:eastAsia="zh-CN" w:bidi="ar-SA"/>
        </w:rPr>
        <w:t>绩效指标：</w:t>
      </w:r>
      <w:r>
        <w:rPr>
          <w:rFonts w:hint="eastAsia" w:ascii="Calibri" w:hAnsi="Calibri" w:eastAsia="宋体" w:cs="Arial"/>
          <w:kern w:val="2"/>
          <w:sz w:val="28"/>
          <w:szCs w:val="22"/>
          <w:lang w:val="en-US" w:eastAsia="zh-CN" w:bidi="ar-SA"/>
        </w:rPr>
        <w:t>（1）</w:t>
      </w:r>
      <w:r>
        <w:rPr>
          <w:rFonts w:ascii="Calibri" w:hAnsi="Calibri" w:eastAsia="宋体" w:cs="Arial"/>
          <w:kern w:val="2"/>
          <w:sz w:val="28"/>
          <w:szCs w:val="22"/>
          <w:lang w:val="en-US" w:eastAsia="zh-CN" w:bidi="ar-SA"/>
        </w:rPr>
        <w:t>数量指标：全年预计完成举办免费开放文化活动</w:t>
      </w:r>
      <w:r>
        <w:rPr>
          <w:rFonts w:hint="eastAsia" w:ascii="Calibri" w:hAnsi="Calibri" w:eastAsia="宋体" w:cs="Arial"/>
          <w:kern w:val="2"/>
          <w:sz w:val="28"/>
          <w:szCs w:val="22"/>
          <w:lang w:val="en-US" w:eastAsia="zh-CN" w:bidi="ar-SA"/>
        </w:rPr>
        <w:t>24次。（2）</w:t>
      </w:r>
      <w:r>
        <w:rPr>
          <w:rFonts w:ascii="Calibri" w:hAnsi="Calibri" w:eastAsia="宋体" w:cs="Arial"/>
          <w:kern w:val="2"/>
          <w:sz w:val="28"/>
          <w:szCs w:val="22"/>
          <w:lang w:val="en-US" w:eastAsia="zh-CN" w:bidi="ar-SA"/>
        </w:rPr>
        <w:t>成本指标：单项文化活动成本控制在</w:t>
      </w:r>
      <w:r>
        <w:rPr>
          <w:rFonts w:hint="eastAsia" w:ascii="Calibri" w:hAnsi="Calibri" w:eastAsia="宋体" w:cs="Arial"/>
          <w:kern w:val="2"/>
          <w:sz w:val="28"/>
          <w:szCs w:val="22"/>
          <w:lang w:val="en-US" w:eastAsia="zh-CN" w:bidi="ar-SA"/>
        </w:rPr>
        <w:t>2</w:t>
      </w:r>
      <w:r>
        <w:rPr>
          <w:rFonts w:ascii="Calibri" w:hAnsi="Calibri" w:eastAsia="宋体" w:cs="Arial"/>
          <w:kern w:val="2"/>
          <w:sz w:val="28"/>
          <w:szCs w:val="22"/>
          <w:lang w:val="en-US" w:eastAsia="zh-CN" w:bidi="ar-SA"/>
        </w:rPr>
        <w:t>万元。</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1"/>
      </w:pPr>
      <w:r>
        <w:t>1、完善预算绩效管理制度建设。为进一步加强预算绩效管理，提高预算绩效目标管理的科学性、规范性和有效性，根据《中共三河市委三河市人民政府关于全面实施预算绩效管理的实施意见》（三发〔2019〕18号）的有关规定，参照《三河市财政局预算绩效目标管理办法（试行）》,我</w:t>
      </w:r>
      <w:r>
        <w:rPr>
          <w:rFonts w:hint="eastAsia"/>
          <w:lang w:eastAsia="zh-CN"/>
        </w:rPr>
        <w:t>单位不断</w:t>
      </w:r>
      <w:r>
        <w:t>完善预算绩效管理制度，确保</w:t>
      </w:r>
      <w:r>
        <w:rPr>
          <w:rFonts w:hint="eastAsia"/>
          <w:lang w:eastAsia="zh-CN"/>
        </w:rPr>
        <w:t>单位</w:t>
      </w:r>
      <w:r>
        <w:t>预算绩效执行的科学性和合理性。</w:t>
      </w:r>
    </w:p>
    <w:p>
      <w:pPr>
        <w:pStyle w:val="21"/>
      </w:pPr>
      <w:r>
        <w:t>2、认真贯彻</w:t>
      </w:r>
      <w:r>
        <w:rPr>
          <w:rFonts w:hint="eastAsia"/>
          <w:lang w:eastAsia="zh-CN"/>
        </w:rPr>
        <w:t>单位</w:t>
      </w:r>
      <w:r>
        <w:t>《财务支出管理办法》。加强支出管理、提高资金使用效率，确保项目资金支出的及时性、合理性和合规性，增强预算的科学性。</w:t>
      </w:r>
    </w:p>
    <w:p>
      <w:pPr>
        <w:pStyle w:val="21"/>
      </w:pPr>
      <w:r>
        <w:t>3、做好绩效自评。按照财政部门的相关要求，我</w:t>
      </w:r>
      <w:r>
        <w:rPr>
          <w:rFonts w:hint="eastAsia"/>
          <w:lang w:eastAsia="zh-CN"/>
        </w:rPr>
        <w:t>单位</w:t>
      </w:r>
      <w:r>
        <w:t>按照要求的时间节点做好我</w:t>
      </w:r>
      <w:r>
        <w:rPr>
          <w:rFonts w:hint="eastAsia"/>
          <w:lang w:eastAsia="zh-CN"/>
        </w:rPr>
        <w:t>单位</w:t>
      </w:r>
      <w:r>
        <w:t>相关项目支出的绩效自评工作。同时，对各个项目绩效自评情况进行及时整理、归纳、分析，将其作为改善我单位预算管理工作和安排以后年度预算的依据。不断完善绩效评价指标，逐步建立符合我</w:t>
      </w:r>
      <w:r>
        <w:rPr>
          <w:rFonts w:hint="eastAsia"/>
          <w:lang w:eastAsia="zh-CN"/>
        </w:rPr>
        <w:t>单位</w:t>
      </w:r>
      <w:r>
        <w:t>工作特点的绩效评价指标体系。</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0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27"/>
        <w:gridCol w:w="1032"/>
        <w:gridCol w:w="1440"/>
        <w:gridCol w:w="854"/>
        <w:gridCol w:w="1176"/>
        <w:gridCol w:w="828"/>
        <w:gridCol w:w="1008"/>
        <w:gridCol w:w="816"/>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92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03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44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85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17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652"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40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927" w:type="dxa"/>
            <w:vMerge w:val="continue"/>
            <w:tcBorders>
              <w:tl2br w:val="nil"/>
              <w:tr2bl w:val="nil"/>
            </w:tcBorders>
            <w:vAlign w:val="center"/>
          </w:tcPr>
          <w:p/>
        </w:tc>
        <w:tc>
          <w:tcPr>
            <w:tcW w:w="1032" w:type="dxa"/>
            <w:vMerge w:val="continue"/>
            <w:tcBorders>
              <w:tl2br w:val="nil"/>
              <w:tr2bl w:val="nil"/>
            </w:tcBorders>
            <w:vAlign w:val="center"/>
          </w:tcPr>
          <w:p/>
        </w:tc>
        <w:tc>
          <w:tcPr>
            <w:tcW w:w="1440" w:type="dxa"/>
            <w:vMerge w:val="continue"/>
            <w:tcBorders>
              <w:tl2br w:val="nil"/>
              <w:tr2bl w:val="nil"/>
            </w:tcBorders>
            <w:vAlign w:val="center"/>
          </w:tcPr>
          <w:p/>
        </w:tc>
        <w:tc>
          <w:tcPr>
            <w:tcW w:w="854" w:type="dxa"/>
            <w:vMerge w:val="continue"/>
            <w:tcBorders>
              <w:tl2br w:val="nil"/>
              <w:tr2bl w:val="nil"/>
            </w:tcBorders>
            <w:vAlign w:val="center"/>
          </w:tcPr>
          <w:p/>
        </w:tc>
        <w:tc>
          <w:tcPr>
            <w:tcW w:w="1176" w:type="dxa"/>
            <w:vMerge w:val="continue"/>
            <w:tcBorders>
              <w:tl2br w:val="nil"/>
              <w:tr2bl w:val="nil"/>
            </w:tcBorders>
            <w:vAlign w:val="center"/>
          </w:tcPr>
          <w:p/>
        </w:tc>
        <w:tc>
          <w:tcPr>
            <w:tcW w:w="82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100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81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40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927"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03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440" w:type="dxa"/>
            <w:tcBorders>
              <w:tl2br w:val="nil"/>
              <w:tr2bl w:val="nil"/>
            </w:tcBorders>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举办免费开放文化活动次数</w:t>
            </w:r>
          </w:p>
          <w:p>
            <w:pPr>
              <w:widowControl/>
              <w:adjustRightInd w:val="0"/>
              <w:snapToGrid w:val="0"/>
              <w:rPr>
                <w:rFonts w:ascii="方正书宋_GBK" w:eastAsia="方正书宋_GBK"/>
              </w:rPr>
            </w:pPr>
          </w:p>
        </w:tc>
        <w:tc>
          <w:tcPr>
            <w:tcW w:w="854"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20</w:t>
            </w:r>
          </w:p>
        </w:tc>
        <w:tc>
          <w:tcPr>
            <w:tcW w:w="1176" w:type="dxa"/>
            <w:tcBorders>
              <w:tl2br w:val="nil"/>
              <w:tr2bl w:val="nil"/>
            </w:tcBorders>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举办免费开放文化活动次数</w:t>
            </w:r>
          </w:p>
          <w:p>
            <w:pPr>
              <w:widowControl/>
              <w:adjustRightInd w:val="0"/>
              <w:snapToGrid w:val="0"/>
              <w:rPr>
                <w:rFonts w:ascii="方正书宋_GBK" w:eastAsia="方正书宋_GBK"/>
              </w:rPr>
            </w:pPr>
          </w:p>
        </w:tc>
        <w:tc>
          <w:tcPr>
            <w:tcW w:w="828" w:type="dxa"/>
            <w:tcBorders>
              <w:tl2br w:val="nil"/>
              <w:tr2bl w:val="nil"/>
            </w:tcBorders>
            <w:vAlign w:val="center"/>
          </w:tcPr>
          <w:p>
            <w:pPr>
              <w:widowControl/>
              <w:adjustRightInd w:val="0"/>
              <w:snapToGrid w:val="0"/>
              <w:jc w:val="center"/>
              <w:rPr>
                <w:rFonts w:ascii="方正书宋_GBK" w:eastAsia="方正书宋_GBK"/>
              </w:rPr>
            </w:pPr>
            <w:r>
              <w:rPr>
                <w:rFonts w:ascii="Times New Roman" w:hAnsi="Times New Roman" w:eastAsia="仿宋_GB2312" w:cs="Times New Roman"/>
                <w:kern w:val="2"/>
                <w:sz w:val="21"/>
                <w:szCs w:val="22"/>
                <w:lang w:val="en-US" w:eastAsia="zh-CN" w:bidi="ar-SA"/>
              </w:rPr>
              <w:t>≥</w:t>
            </w:r>
          </w:p>
        </w:tc>
        <w:tc>
          <w:tcPr>
            <w:tcW w:w="100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24</w:t>
            </w:r>
          </w:p>
        </w:tc>
        <w:tc>
          <w:tcPr>
            <w:tcW w:w="816"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次</w:t>
            </w:r>
          </w:p>
        </w:tc>
        <w:tc>
          <w:tcPr>
            <w:tcW w:w="2400" w:type="dxa"/>
            <w:tcBorders>
              <w:tl2br w:val="nil"/>
              <w:tr2bl w:val="nil"/>
            </w:tcBorders>
            <w:vAlign w:val="center"/>
          </w:tcPr>
          <w:p>
            <w:pPr>
              <w:widowControl/>
              <w:adjustRightInd w:val="0"/>
              <w:snapToGrid w:val="0"/>
              <w:rPr>
                <w:rFonts w:ascii="方正书宋_GBK" w:eastAsia="方正书宋_GBK"/>
              </w:rPr>
            </w:pPr>
            <w:r>
              <w:rPr>
                <w:rFonts w:ascii="Times New Roman" w:hAnsi="Times New Roman" w:eastAsia="仿宋_GB2312" w:cs="Times New Roman"/>
                <w:kern w:val="2"/>
                <w:sz w:val="21"/>
                <w:szCs w:val="22"/>
                <w:lang w:val="en-US" w:eastAsia="zh-CN" w:bidi="ar-SA"/>
              </w:rPr>
              <w:t>活动资料（方案、照片、简讯）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927" w:type="dxa"/>
            <w:vMerge w:val="continue"/>
            <w:tcBorders>
              <w:tl2br w:val="nil"/>
              <w:tr2bl w:val="nil"/>
            </w:tcBorders>
            <w:vAlign w:val="center"/>
          </w:tcPr>
          <w:p/>
        </w:tc>
        <w:tc>
          <w:tcPr>
            <w:tcW w:w="103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440" w:type="dxa"/>
            <w:tcBorders>
              <w:tl2br w:val="nil"/>
              <w:tr2bl w:val="nil"/>
            </w:tcBorders>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保障全年活动正常运转率</w:t>
            </w:r>
          </w:p>
          <w:p>
            <w:pPr>
              <w:widowControl/>
              <w:adjustRightInd w:val="0"/>
              <w:snapToGrid w:val="0"/>
              <w:rPr>
                <w:rFonts w:ascii="方正书宋_GBK" w:eastAsia="方正书宋_GBK"/>
              </w:rPr>
            </w:pPr>
          </w:p>
        </w:tc>
        <w:tc>
          <w:tcPr>
            <w:tcW w:w="854"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20</w:t>
            </w:r>
          </w:p>
        </w:tc>
        <w:tc>
          <w:tcPr>
            <w:tcW w:w="1176" w:type="dxa"/>
            <w:tcBorders>
              <w:tl2br w:val="nil"/>
              <w:tr2bl w:val="nil"/>
            </w:tcBorders>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保障全年活动正常运转</w:t>
            </w:r>
          </w:p>
          <w:p>
            <w:pPr>
              <w:widowControl/>
              <w:adjustRightInd w:val="0"/>
              <w:snapToGrid w:val="0"/>
              <w:rPr>
                <w:rFonts w:ascii="方正书宋_GBK" w:eastAsia="方正书宋_GBK"/>
              </w:rPr>
            </w:pPr>
          </w:p>
        </w:tc>
        <w:tc>
          <w:tcPr>
            <w:tcW w:w="828"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rPr>
            </w:pPr>
            <w:r>
              <w:rPr>
                <w:rFonts w:hint="eastAsia" w:ascii="微软雅黑" w:hAnsi="微软雅黑" w:eastAsia="微软雅黑" w:cs="微软雅黑"/>
              </w:rPr>
              <w:t>=</w:t>
            </w:r>
          </w:p>
        </w:tc>
        <w:tc>
          <w:tcPr>
            <w:tcW w:w="100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816"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百分比</w:t>
            </w:r>
          </w:p>
        </w:tc>
        <w:tc>
          <w:tcPr>
            <w:tcW w:w="2400" w:type="dxa"/>
            <w:tcBorders>
              <w:tl2br w:val="nil"/>
              <w:tr2bl w:val="nil"/>
            </w:tcBorders>
            <w:vAlign w:val="center"/>
          </w:tcPr>
          <w:p>
            <w:pPr>
              <w:widowControl/>
              <w:adjustRightInd w:val="0"/>
              <w:snapToGrid w:val="0"/>
              <w:rPr>
                <w:rFonts w:ascii="方正书宋_GBK" w:eastAsia="方正书宋_GBK"/>
              </w:rPr>
            </w:pPr>
            <w:r>
              <w:rPr>
                <w:rFonts w:ascii="Times New Roman" w:hAnsi="Times New Roman" w:eastAsia="仿宋_GB2312" w:cs="Times New Roman"/>
                <w:kern w:val="2"/>
                <w:sz w:val="21"/>
                <w:szCs w:val="22"/>
                <w:lang w:val="en-US" w:eastAsia="zh-CN" w:bidi="ar-SA"/>
              </w:rPr>
              <w:t>活动资料（方案、照片、简讯）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927" w:type="dxa"/>
            <w:vMerge w:val="continue"/>
            <w:tcBorders>
              <w:tl2br w:val="nil"/>
              <w:tr2bl w:val="nil"/>
            </w:tcBorders>
            <w:vAlign w:val="center"/>
          </w:tcPr>
          <w:p/>
        </w:tc>
        <w:tc>
          <w:tcPr>
            <w:tcW w:w="103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440" w:type="dxa"/>
            <w:tcBorders>
              <w:tl2br w:val="nil"/>
              <w:tr2bl w:val="nil"/>
            </w:tcBorders>
            <w:vAlign w:val="center"/>
          </w:tcPr>
          <w:p>
            <w:pPr>
              <w:widowControl/>
              <w:adjustRightInd w:val="0"/>
              <w:snapToGrid w:val="0"/>
              <w:rPr>
                <w:rFonts w:ascii="方正书宋_GBK" w:eastAsia="方正书宋_GBK"/>
              </w:rPr>
            </w:pPr>
            <w:r>
              <w:rPr>
                <w:rFonts w:ascii="Times New Roman" w:hAnsi="Times New Roman" w:eastAsia="仿宋_GB2312" w:cs="Times New Roman"/>
                <w:kern w:val="2"/>
                <w:sz w:val="21"/>
                <w:szCs w:val="22"/>
                <w:lang w:val="en-US" w:eastAsia="zh-CN" w:bidi="ar-SA"/>
              </w:rPr>
              <w:t>文化活动是否按时完成</w:t>
            </w:r>
            <w:r>
              <w:rPr>
                <w:rFonts w:hint="eastAsia" w:ascii="Times New Roman" w:hAnsi="Times New Roman" w:eastAsia="仿宋_GB2312" w:cs="Times New Roman"/>
                <w:kern w:val="2"/>
                <w:sz w:val="21"/>
                <w:szCs w:val="22"/>
                <w:lang w:val="en-US" w:eastAsia="zh-CN" w:bidi="ar-SA"/>
              </w:rPr>
              <w:t>率</w:t>
            </w:r>
          </w:p>
        </w:tc>
        <w:tc>
          <w:tcPr>
            <w:tcW w:w="854"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20</w:t>
            </w:r>
          </w:p>
        </w:tc>
        <w:tc>
          <w:tcPr>
            <w:tcW w:w="1176" w:type="dxa"/>
            <w:tcBorders>
              <w:tl2br w:val="nil"/>
              <w:tr2bl w:val="nil"/>
            </w:tcBorders>
            <w:vAlign w:val="center"/>
          </w:tcPr>
          <w:p>
            <w:pPr>
              <w:widowControl/>
              <w:adjustRightInd w:val="0"/>
              <w:snapToGrid w:val="0"/>
              <w:rPr>
                <w:rFonts w:ascii="方正书宋_GBK" w:eastAsia="方正书宋_GBK"/>
              </w:rPr>
            </w:pPr>
            <w:r>
              <w:rPr>
                <w:rFonts w:ascii="Times New Roman" w:hAnsi="Times New Roman" w:eastAsia="仿宋_GB2312" w:cs="Times New Roman"/>
                <w:kern w:val="2"/>
                <w:sz w:val="21"/>
                <w:szCs w:val="22"/>
                <w:lang w:val="en-US" w:eastAsia="zh-CN" w:bidi="ar-SA"/>
              </w:rPr>
              <w:t>反映文化活动是否按时完成</w:t>
            </w:r>
          </w:p>
        </w:tc>
        <w:tc>
          <w:tcPr>
            <w:tcW w:w="828" w:type="dxa"/>
            <w:tcBorders>
              <w:tl2br w:val="nil"/>
              <w:tr2bl w:val="nil"/>
            </w:tcBorders>
            <w:vAlign w:val="center"/>
          </w:tcPr>
          <w:p>
            <w:pPr>
              <w:widowControl/>
              <w:adjustRightInd w:val="0"/>
              <w:snapToGrid w:val="0"/>
              <w:jc w:val="center"/>
              <w:rPr>
                <w:rFonts w:hint="eastAsia" w:ascii="方正书宋_GBK" w:hAnsi="方正书宋_GBK" w:eastAsia="方正书宋_GBK" w:cs="方正书宋_GBK"/>
                <w:kern w:val="2"/>
                <w:sz w:val="21"/>
                <w:szCs w:val="22"/>
                <w:lang w:val="en-US" w:eastAsia="zh-CN" w:bidi="ar-SA"/>
              </w:rPr>
            </w:pPr>
            <w:r>
              <w:rPr>
                <w:rFonts w:hint="eastAsia" w:ascii="微软雅黑" w:hAnsi="微软雅黑" w:eastAsia="微软雅黑" w:cs="微软雅黑"/>
              </w:rPr>
              <w:t>=</w:t>
            </w:r>
          </w:p>
        </w:tc>
        <w:tc>
          <w:tcPr>
            <w:tcW w:w="100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100</w:t>
            </w:r>
          </w:p>
        </w:tc>
        <w:tc>
          <w:tcPr>
            <w:tcW w:w="816"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eastAsia="zh-CN"/>
              </w:rPr>
              <w:t>百分比</w:t>
            </w:r>
          </w:p>
        </w:tc>
        <w:tc>
          <w:tcPr>
            <w:tcW w:w="2400"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ascii="Times New Roman" w:hAnsi="Times New Roman" w:eastAsia="仿宋_GB2312" w:cs="Times New Roman"/>
                <w:kern w:val="2"/>
                <w:sz w:val="21"/>
                <w:szCs w:val="22"/>
                <w:lang w:val="en-US" w:eastAsia="zh-CN" w:bidi="ar-SA"/>
              </w:rPr>
              <w:t>活动资料（方案、照片、简讯）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927" w:type="dxa"/>
            <w:vMerge w:val="continue"/>
            <w:tcBorders>
              <w:tl2br w:val="nil"/>
              <w:tr2bl w:val="nil"/>
            </w:tcBorders>
            <w:vAlign w:val="center"/>
          </w:tcPr>
          <w:p/>
        </w:tc>
        <w:tc>
          <w:tcPr>
            <w:tcW w:w="103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440" w:type="dxa"/>
            <w:tcBorders>
              <w:tl2br w:val="nil"/>
              <w:tr2bl w:val="nil"/>
            </w:tcBorders>
            <w:noWrap/>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p>
            <w:pPr>
              <w:widowControl/>
              <w:adjustRightInd w:val="0"/>
              <w:snapToGrid w:val="0"/>
              <w:rPr>
                <w:rFonts w:ascii="方正书宋_GBK" w:eastAsia="方正书宋_GBK"/>
              </w:rPr>
            </w:pPr>
          </w:p>
        </w:tc>
        <w:tc>
          <w:tcPr>
            <w:tcW w:w="854" w:type="dxa"/>
            <w:tcBorders>
              <w:tl2br w:val="nil"/>
              <w:tr2bl w:val="nil"/>
            </w:tcBorders>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1176" w:type="dxa"/>
            <w:tcBorders>
              <w:tl2br w:val="nil"/>
              <w:tr2bl w:val="nil"/>
            </w:tcBorders>
            <w:noWrap/>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p>
            <w:pPr>
              <w:widowControl/>
              <w:adjustRightInd w:val="0"/>
              <w:snapToGrid w:val="0"/>
              <w:rPr>
                <w:rFonts w:ascii="方正书宋_GBK" w:eastAsia="方正书宋_GBK"/>
              </w:rPr>
            </w:pPr>
          </w:p>
        </w:tc>
        <w:tc>
          <w:tcPr>
            <w:tcW w:w="828" w:type="dxa"/>
            <w:tcBorders>
              <w:tl2br w:val="nil"/>
              <w:tr2bl w:val="nil"/>
            </w:tcBorders>
            <w:vAlign w:val="center"/>
          </w:tcPr>
          <w:p>
            <w:pPr>
              <w:widowControl/>
              <w:adjustRightInd w:val="0"/>
              <w:snapToGrid w:val="0"/>
              <w:rPr>
                <w:rFonts w:ascii="方正书宋_GBK" w:eastAsia="方正书宋_GBK"/>
              </w:rPr>
            </w:pPr>
            <w:r>
              <w:rPr>
                <w:rFonts w:ascii="Times New Roman" w:hAnsi="Times New Roman" w:eastAsia="仿宋_GB2312" w:cs="Times New Roman"/>
                <w:kern w:val="2"/>
                <w:sz w:val="21"/>
                <w:szCs w:val="22"/>
                <w:lang w:val="en-US" w:eastAsia="zh-CN" w:bidi="ar-SA"/>
              </w:rPr>
              <w:t>≥</w:t>
            </w:r>
          </w:p>
        </w:tc>
        <w:tc>
          <w:tcPr>
            <w:tcW w:w="100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90</w:t>
            </w:r>
          </w:p>
        </w:tc>
        <w:tc>
          <w:tcPr>
            <w:tcW w:w="816"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百分比</w:t>
            </w:r>
          </w:p>
        </w:tc>
        <w:tc>
          <w:tcPr>
            <w:tcW w:w="2400" w:type="dxa"/>
            <w:tcBorders>
              <w:tl2br w:val="nil"/>
              <w:tr2bl w:val="nil"/>
            </w:tcBorders>
            <w:vAlign w:val="center"/>
          </w:tcPr>
          <w:p>
            <w:pPr>
              <w:widowControl/>
              <w:adjustRightInd w:val="0"/>
              <w:snapToGrid w:val="0"/>
              <w:rPr>
                <w:rFonts w:ascii="方正书宋_GBK" w:eastAsia="方正书宋_GBK"/>
              </w:rPr>
            </w:pPr>
            <w:r>
              <w:rPr>
                <w:rFonts w:ascii="Times New Roman" w:hAnsi="Times New Roman" w:eastAsia="仿宋_GB2312" w:cs="Times New Roman"/>
                <w:kern w:val="2"/>
                <w:sz w:val="21"/>
                <w:szCs w:val="22"/>
                <w:lang w:val="en-US" w:eastAsia="zh-CN" w:bidi="ar-SA"/>
              </w:rPr>
              <w:t>满意度调查表</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1.文化馆公共文化服务体系本级配套资金，文化艺术活动及展览展示经费绩效目标表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b/>
              </w:rPr>
            </w:pPr>
            <w:r>
              <w:rPr>
                <w:rFonts w:hint="eastAsia" w:ascii="Times New Roman" w:hAnsi="Times New Roman" w:eastAsia="仿宋_GB2312" w:cs="Times New Roman"/>
                <w:b/>
                <w:bCs/>
                <w:kern w:val="2"/>
                <w:sz w:val="21"/>
                <w:szCs w:val="22"/>
                <w:lang w:val="en-US" w:eastAsia="zh-CN" w:bidi="ar-SA"/>
              </w:rPr>
              <w:t>通过开展免费开放活动，使全市基本公共文化服务标准化、均等化。通过开展免费开放活动，提高我市文化水平，使我市文化作品不断产生和提高。通过开展免费开放活动，提高我市文化水平，使我市文化作品不断产生和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4"/>
              <w:rPr>
                <w:rFonts w:hint="eastAsia" w:ascii="Times New Roman" w:hAnsi="Times New Roman" w:eastAsia="仿宋_GB2312" w:cs="Times New Roman"/>
                <w:kern w:val="2"/>
                <w:sz w:val="21"/>
                <w:szCs w:val="22"/>
                <w:lang w:val="en-US" w:eastAsia="uk-UA" w:bidi="ar-SA"/>
              </w:rPr>
            </w:pPr>
            <w:r>
              <w:rPr>
                <w:rFonts w:hint="eastAsia"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免费开放活动数量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免费开放活动数量</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10场</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hint="eastAsia" w:ascii="Times New Roman" w:hAnsi="Times New Roman" w:eastAsia="仿宋_GB2312" w:cs="Times New Roman"/>
                <w:kern w:val="2"/>
                <w:sz w:val="21"/>
                <w:szCs w:val="22"/>
                <w:lang w:val="en-US" w:eastAsia="uk-UA" w:bidi="ar-SA"/>
              </w:rPr>
            </w:pPr>
            <w:r>
              <w:rPr>
                <w:rFonts w:hint="eastAsia"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免费开放活动正常运转率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免费开放活动正常运转</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100百分比</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hint="eastAsia" w:ascii="Times New Roman" w:hAnsi="Times New Roman" w:eastAsia="仿宋_GB2312" w:cs="Times New Roman"/>
                <w:kern w:val="2"/>
                <w:sz w:val="21"/>
                <w:szCs w:val="22"/>
                <w:lang w:val="en-US" w:eastAsia="uk-UA" w:bidi="ar-SA"/>
              </w:rPr>
            </w:pPr>
            <w:r>
              <w:rPr>
                <w:rFonts w:hint="eastAsia"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活动按时完成率</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反映活动是否按时完成</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100百分比</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4"/>
              <w:rPr>
                <w:rFonts w:hint="eastAsia" w:ascii="Times New Roman" w:hAnsi="Times New Roman" w:eastAsia="仿宋_GB2312" w:cs="Times New Roman"/>
                <w:kern w:val="2"/>
                <w:sz w:val="21"/>
                <w:szCs w:val="22"/>
                <w:lang w:val="en-US" w:eastAsia="uk-UA" w:bidi="ar-SA"/>
              </w:rPr>
            </w:pPr>
            <w:r>
              <w:rPr>
                <w:rFonts w:hint="eastAsia"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单场活动成本</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反映单场活动成本</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1万元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4"/>
              <w:rPr>
                <w:rFonts w:hint="eastAsia" w:ascii="Times New Roman" w:hAnsi="Times New Roman" w:eastAsia="仿宋_GB2312" w:cs="Times New Roman"/>
                <w:kern w:val="2"/>
                <w:sz w:val="21"/>
                <w:szCs w:val="22"/>
                <w:lang w:val="en-US" w:eastAsia="uk-UA" w:bidi="ar-SA"/>
              </w:rPr>
            </w:pPr>
            <w:r>
              <w:rPr>
                <w:rFonts w:hint="eastAsia"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观众人次</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反映演出活动观众人次</w:t>
            </w:r>
          </w:p>
        </w:tc>
        <w:tc>
          <w:tcPr>
            <w:tcW w:w="1843" w:type="dxa"/>
            <w:shd w:val="clear" w:color="auto" w:fill="auto"/>
            <w:vAlign w:val="center"/>
          </w:tcPr>
          <w:p>
            <w:pPr>
              <w:spacing w:line="300"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≥20000人次</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uk-UA"/>
              </w:rPr>
            </w:pPr>
            <w:r>
              <w:rPr>
                <w:rFonts w:hint="eastAsia" w:ascii="Times New Roman" w:hAnsi="Times New Roman" w:eastAsia="仿宋_GB2312" w:cs="Times New Roman"/>
                <w:lang w:eastAsia="zh-CN"/>
              </w:rPr>
              <w:t>活动照片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群众满意度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群众满意度</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≥90百分比</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满意度调查表</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2.文化活动经费绩效目标表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08"/>
        <w:gridCol w:w="214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b/>
              </w:rPr>
            </w:pPr>
            <w:r>
              <w:rPr>
                <w:rFonts w:ascii="Times New Roman" w:hAnsi="Times New Roman" w:eastAsia="仿宋_GB2312" w:cs="Times New Roman"/>
                <w:b/>
                <w:bCs/>
                <w:kern w:val="2"/>
                <w:sz w:val="21"/>
                <w:szCs w:val="22"/>
                <w:lang w:val="en-US" w:eastAsia="zh-CN" w:bidi="ar-SA"/>
              </w:rPr>
              <w:t>通过各类培训、展览展示活动，提高我市文化水平，使我市文化作品不断产生和提高，使全市基本公共文化服务标准化、均等化。通过举办各种比赛，使我市专业艺术创作生产能力不断提高。通过举办各种比赛，使我市专业艺术创作生产能力不断提高</w:t>
            </w:r>
            <w:r>
              <w:rPr>
                <w:rFonts w:ascii="Times New Roman" w:hAnsi="Times New Roman" w:eastAsia="仿宋_GB2312" w:cs="Times New Roman"/>
                <w:kern w:val="2"/>
                <w:sz w:val="21"/>
                <w:szCs w:val="22"/>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0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0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2145"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举办免费开放文化活动次数</w:t>
            </w:r>
          </w:p>
          <w:p>
            <w:pPr>
              <w:spacing w:line="300" w:lineRule="exact"/>
              <w:jc w:val="left"/>
              <w:rPr>
                <w:rFonts w:ascii="Times New Roman" w:hAnsi="Times New Roman" w:eastAsia="仿宋_GB2312" w:cs="Times New Roman"/>
                <w:kern w:val="2"/>
                <w:sz w:val="21"/>
                <w:szCs w:val="22"/>
                <w:lang w:val="en-US" w:eastAsia="zh-CN" w:bidi="ar-SA"/>
              </w:rPr>
            </w:pP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举办免费开放文化活动次数</w:t>
            </w:r>
          </w:p>
          <w:p>
            <w:pPr>
              <w:spacing w:line="300" w:lineRule="exact"/>
              <w:jc w:val="left"/>
              <w:rPr>
                <w:rFonts w:ascii="Times New Roman" w:hAnsi="Times New Roman" w:eastAsia="仿宋_GB2312" w:cs="Times New Roman"/>
                <w:kern w:val="2"/>
                <w:sz w:val="21"/>
                <w:szCs w:val="22"/>
                <w:lang w:val="en-US" w:eastAsia="zh-CN" w:bidi="ar-SA"/>
              </w:rPr>
            </w:pP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≥24次</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0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2145"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保障全年活动正常运转率</w:t>
            </w:r>
          </w:p>
          <w:p>
            <w:pPr>
              <w:spacing w:line="300" w:lineRule="exact"/>
              <w:jc w:val="left"/>
              <w:rPr>
                <w:rFonts w:ascii="Times New Roman" w:hAnsi="Times New Roman" w:eastAsia="仿宋_GB2312" w:cs="Times New Roman"/>
                <w:kern w:val="2"/>
                <w:sz w:val="21"/>
                <w:szCs w:val="22"/>
                <w:lang w:val="en-US" w:eastAsia="zh-CN" w:bidi="ar-SA"/>
              </w:rPr>
            </w:pP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保障全年活动正常运转</w:t>
            </w:r>
          </w:p>
          <w:p>
            <w:pPr>
              <w:spacing w:line="300" w:lineRule="exact"/>
              <w:jc w:val="left"/>
              <w:rPr>
                <w:rFonts w:ascii="Times New Roman" w:hAnsi="Times New Roman" w:eastAsia="仿宋_GB2312" w:cs="Times New Roman"/>
                <w:kern w:val="2"/>
                <w:sz w:val="21"/>
                <w:szCs w:val="22"/>
                <w:lang w:val="en-US" w:eastAsia="zh-CN" w:bidi="ar-SA"/>
              </w:rPr>
            </w:pP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100百分比</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活动资料（方案、照片、简讯）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0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2145"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文化活动是否按时完成</w:t>
            </w:r>
            <w:r>
              <w:rPr>
                <w:rFonts w:hint="eastAsia" w:ascii="Times New Roman" w:hAnsi="Times New Roman" w:eastAsia="仿宋_GB2312" w:cs="Times New Roman"/>
                <w:kern w:val="2"/>
                <w:sz w:val="21"/>
                <w:szCs w:val="22"/>
                <w:lang w:val="en-US" w:eastAsia="zh-CN" w:bidi="ar-SA"/>
              </w:rPr>
              <w:t>率</w:t>
            </w:r>
          </w:p>
        </w:tc>
        <w:tc>
          <w:tcPr>
            <w:tcW w:w="3402"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反映文化活动是否按时完成</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100百分比</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0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2145"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单项文化活动成本</w:t>
            </w:r>
          </w:p>
          <w:p>
            <w:pPr>
              <w:spacing w:line="300" w:lineRule="exact"/>
              <w:jc w:val="left"/>
              <w:rPr>
                <w:rFonts w:ascii="Times New Roman" w:hAnsi="Times New Roman" w:eastAsia="仿宋_GB2312" w:cs="Times New Roman"/>
                <w:kern w:val="2"/>
                <w:sz w:val="21"/>
                <w:szCs w:val="22"/>
                <w:lang w:val="en-US" w:eastAsia="zh-CN" w:bidi="ar-SA"/>
              </w:rPr>
            </w:pPr>
          </w:p>
        </w:tc>
        <w:tc>
          <w:tcPr>
            <w:tcW w:w="3402"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反映</w:t>
            </w:r>
            <w:r>
              <w:rPr>
                <w:rFonts w:ascii="Times New Roman" w:hAnsi="Times New Roman" w:eastAsia="仿宋_GB2312" w:cs="Times New Roman"/>
                <w:kern w:val="2"/>
                <w:sz w:val="21"/>
                <w:szCs w:val="22"/>
                <w:lang w:val="en-US" w:eastAsia="zh-CN" w:bidi="ar-SA"/>
              </w:rPr>
              <w:t>单项文化活动成本</w:t>
            </w:r>
          </w:p>
          <w:p>
            <w:pPr>
              <w:spacing w:line="300" w:lineRule="exact"/>
              <w:jc w:val="left"/>
              <w:rPr>
                <w:rFonts w:ascii="Times New Roman" w:hAnsi="Times New Roman" w:eastAsia="仿宋_GB2312" w:cs="Times New Roman"/>
                <w:kern w:val="2"/>
                <w:sz w:val="21"/>
                <w:szCs w:val="22"/>
                <w:lang w:val="en-US" w:eastAsia="zh-CN" w:bidi="ar-SA"/>
              </w:rPr>
            </w:pP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≤2万元</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0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2145"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观展人次</w:t>
            </w:r>
          </w:p>
          <w:p>
            <w:pPr>
              <w:spacing w:line="300" w:lineRule="exact"/>
              <w:jc w:val="left"/>
              <w:rPr>
                <w:rFonts w:ascii="Times New Roman" w:hAnsi="Times New Roman" w:eastAsia="仿宋_GB2312" w:cs="Times New Roman"/>
                <w:kern w:val="2"/>
                <w:sz w:val="21"/>
                <w:szCs w:val="22"/>
                <w:lang w:val="en-US" w:eastAsia="zh-CN" w:bidi="ar-SA"/>
              </w:rPr>
            </w:pPr>
          </w:p>
        </w:tc>
        <w:tc>
          <w:tcPr>
            <w:tcW w:w="3402"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反映展览活动参展人次</w:t>
            </w:r>
          </w:p>
        </w:tc>
        <w:tc>
          <w:tcPr>
            <w:tcW w:w="184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≥5000人次</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活动照片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08"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145"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p>
            <w:pPr>
              <w:spacing w:line="300" w:lineRule="exact"/>
              <w:jc w:val="center"/>
              <w:rPr>
                <w:rFonts w:ascii="Times New Roman" w:hAnsi="Times New Roman" w:eastAsia="仿宋_GB2312" w:cs="Times New Roman"/>
                <w:kern w:val="2"/>
                <w:sz w:val="21"/>
                <w:szCs w:val="22"/>
                <w:lang w:val="en-US" w:eastAsia="zh-CN" w:bidi="ar-SA"/>
              </w:rPr>
            </w:pPr>
          </w:p>
        </w:tc>
        <w:tc>
          <w:tcPr>
            <w:tcW w:w="3402"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p>
            <w:pPr>
              <w:spacing w:line="300" w:lineRule="exact"/>
              <w:jc w:val="center"/>
              <w:rPr>
                <w:rFonts w:ascii="Times New Roman" w:hAnsi="Times New Roman" w:eastAsia="仿宋_GB2312" w:cs="Times New Roman"/>
                <w:kern w:val="2"/>
                <w:sz w:val="21"/>
                <w:szCs w:val="22"/>
                <w:lang w:val="en-US" w:eastAsia="zh-CN" w:bidi="ar-SA"/>
              </w:rPr>
            </w:pPr>
          </w:p>
        </w:tc>
        <w:tc>
          <w:tcPr>
            <w:tcW w:w="1843"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≥90百分比</w:t>
            </w:r>
          </w:p>
        </w:tc>
        <w:tc>
          <w:tcPr>
            <w:tcW w:w="2155"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满意度调查表</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.流动服务车运行经费绩效目标表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7"/>
        <w:gridCol w:w="2160"/>
        <w:gridCol w:w="2160"/>
        <w:gridCol w:w="2916"/>
        <w:gridCol w:w="1836"/>
        <w:gridCol w:w="32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5" w:type="dxa"/>
            <w:gridSpan w:val="5"/>
            <w:shd w:val="clear" w:color="auto" w:fill="auto"/>
            <w:vAlign w:val="center"/>
          </w:tcPr>
          <w:p>
            <w:pPr>
              <w:pStyle w:val="14"/>
              <w:rPr>
                <w:rFonts w:ascii="Times New Roman" w:hAnsi="Times New Roman" w:eastAsia="仿宋_GB2312" w:cs="Times New Roman"/>
                <w:b/>
                <w:bCs/>
                <w:kern w:val="2"/>
                <w:sz w:val="21"/>
                <w:szCs w:val="22"/>
                <w:lang w:val="en-US" w:eastAsia="zh-CN" w:bidi="ar-SA"/>
              </w:rPr>
            </w:pPr>
            <w:r>
              <w:rPr>
                <w:rFonts w:ascii="Times New Roman" w:hAnsi="Times New Roman" w:eastAsia="仿宋_GB2312" w:cs="Times New Roman"/>
                <w:b/>
                <w:bCs/>
                <w:kern w:val="2"/>
                <w:sz w:val="21"/>
                <w:szCs w:val="22"/>
                <w:lang w:val="en-US" w:eastAsia="zh-CN" w:bidi="ar-SA"/>
              </w:rPr>
              <w:t>通过流动服务车正常运行，保障各项群众文化活动顺利开展。通过保障各项群众文化活动顺利开展，提高我市文化水平，使全市基本公共文化服务标准化、均等化。通过保障各项群众文化活动顺利开展，提高我市文化水平，使全市基本公共文化服务标准化、均等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1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3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23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7"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6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2160"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出车次数</w:t>
            </w:r>
          </w:p>
          <w:p>
            <w:pPr>
              <w:spacing w:line="300" w:lineRule="exact"/>
              <w:jc w:val="left"/>
              <w:rPr>
                <w:rFonts w:ascii="Times New Roman" w:hAnsi="Times New Roman" w:eastAsia="仿宋_GB2312" w:cs="Times New Roman"/>
                <w:kern w:val="2"/>
                <w:sz w:val="21"/>
                <w:szCs w:val="22"/>
                <w:lang w:val="en-US" w:eastAsia="zh-CN" w:bidi="ar-SA"/>
              </w:rPr>
            </w:pPr>
          </w:p>
        </w:tc>
        <w:tc>
          <w:tcPr>
            <w:tcW w:w="2916"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反映流动服务车出车次数</w:t>
            </w:r>
          </w:p>
        </w:tc>
        <w:tc>
          <w:tcPr>
            <w:tcW w:w="1836"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≤130次</w:t>
            </w:r>
          </w:p>
        </w:tc>
        <w:tc>
          <w:tcPr>
            <w:tcW w:w="323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文财务发【2011】5号文件。河北省财政厅冀财教[2007]24号、25号、26号《河北省财政厅转发财政部关于落实公益性文化设施向未成年人开放财税政策通知的通知》的文件精神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7" w:type="dxa"/>
            <w:vMerge w:val="continue"/>
            <w:shd w:val="clear" w:color="auto" w:fill="auto"/>
            <w:vAlign w:val="center"/>
          </w:tcPr>
          <w:p/>
        </w:tc>
        <w:tc>
          <w:tcPr>
            <w:tcW w:w="216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2160"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保障车辆正常运转率</w:t>
            </w:r>
          </w:p>
          <w:p>
            <w:pPr>
              <w:spacing w:line="300" w:lineRule="exact"/>
              <w:jc w:val="left"/>
              <w:rPr>
                <w:rFonts w:ascii="Times New Roman" w:hAnsi="Times New Roman" w:eastAsia="仿宋_GB2312" w:cs="Times New Roman"/>
                <w:kern w:val="2"/>
                <w:sz w:val="21"/>
                <w:szCs w:val="22"/>
                <w:lang w:val="en-US" w:eastAsia="zh-CN" w:bidi="ar-SA"/>
              </w:rPr>
            </w:pPr>
          </w:p>
        </w:tc>
        <w:tc>
          <w:tcPr>
            <w:tcW w:w="2916"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保障车辆正常运转</w:t>
            </w:r>
          </w:p>
          <w:p>
            <w:pPr>
              <w:spacing w:line="300" w:lineRule="exact"/>
              <w:jc w:val="left"/>
              <w:rPr>
                <w:rFonts w:ascii="Times New Roman" w:hAnsi="Times New Roman" w:eastAsia="仿宋_GB2312" w:cs="Times New Roman"/>
                <w:kern w:val="2"/>
                <w:sz w:val="21"/>
                <w:szCs w:val="22"/>
                <w:lang w:val="en-US" w:eastAsia="zh-CN" w:bidi="ar-SA"/>
              </w:rPr>
            </w:pPr>
          </w:p>
        </w:tc>
        <w:tc>
          <w:tcPr>
            <w:tcW w:w="1836"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100百分比</w:t>
            </w:r>
          </w:p>
        </w:tc>
        <w:tc>
          <w:tcPr>
            <w:tcW w:w="323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派车单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7" w:type="dxa"/>
            <w:vMerge w:val="continue"/>
            <w:shd w:val="clear" w:color="auto" w:fill="auto"/>
            <w:vAlign w:val="center"/>
          </w:tcPr>
          <w:p/>
        </w:tc>
        <w:tc>
          <w:tcPr>
            <w:tcW w:w="216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2160"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全年1-12月完成</w:t>
            </w:r>
          </w:p>
          <w:p>
            <w:pPr>
              <w:spacing w:line="300" w:lineRule="exact"/>
              <w:jc w:val="left"/>
              <w:rPr>
                <w:rFonts w:ascii="Times New Roman" w:hAnsi="Times New Roman" w:eastAsia="仿宋_GB2312" w:cs="Times New Roman"/>
                <w:kern w:val="2"/>
                <w:sz w:val="21"/>
                <w:szCs w:val="22"/>
                <w:lang w:val="en-US" w:eastAsia="zh-CN" w:bidi="ar-SA"/>
              </w:rPr>
            </w:pPr>
          </w:p>
        </w:tc>
        <w:tc>
          <w:tcPr>
            <w:tcW w:w="2916"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全年1-12月完成</w:t>
            </w:r>
          </w:p>
          <w:p>
            <w:pPr>
              <w:spacing w:line="300" w:lineRule="exact"/>
              <w:jc w:val="left"/>
              <w:rPr>
                <w:rFonts w:ascii="Times New Roman" w:hAnsi="Times New Roman" w:eastAsia="仿宋_GB2312" w:cs="Times New Roman"/>
                <w:kern w:val="2"/>
                <w:sz w:val="21"/>
                <w:szCs w:val="22"/>
                <w:lang w:val="en-US" w:eastAsia="zh-CN" w:bidi="ar-SA"/>
              </w:rPr>
            </w:pPr>
          </w:p>
        </w:tc>
        <w:tc>
          <w:tcPr>
            <w:tcW w:w="1836"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100百分比</w:t>
            </w:r>
          </w:p>
        </w:tc>
        <w:tc>
          <w:tcPr>
            <w:tcW w:w="323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7" w:type="dxa"/>
            <w:vMerge w:val="continue"/>
            <w:shd w:val="clear" w:color="auto" w:fill="auto"/>
            <w:vAlign w:val="center"/>
          </w:tcPr>
          <w:p/>
        </w:tc>
        <w:tc>
          <w:tcPr>
            <w:tcW w:w="216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2160"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每次出车所需成本</w:t>
            </w:r>
          </w:p>
          <w:p>
            <w:pPr>
              <w:spacing w:line="300" w:lineRule="exact"/>
              <w:jc w:val="left"/>
              <w:rPr>
                <w:rFonts w:ascii="Times New Roman" w:hAnsi="Times New Roman" w:eastAsia="仿宋_GB2312" w:cs="Times New Roman"/>
                <w:kern w:val="2"/>
                <w:sz w:val="21"/>
                <w:szCs w:val="22"/>
                <w:lang w:val="en-US" w:eastAsia="zh-CN" w:bidi="ar-SA"/>
              </w:rPr>
            </w:pPr>
          </w:p>
        </w:tc>
        <w:tc>
          <w:tcPr>
            <w:tcW w:w="2916"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反映每次出车所需成本</w:t>
            </w:r>
          </w:p>
        </w:tc>
        <w:tc>
          <w:tcPr>
            <w:tcW w:w="1836"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≥539元</w:t>
            </w:r>
          </w:p>
        </w:tc>
        <w:tc>
          <w:tcPr>
            <w:tcW w:w="323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60"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2160"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保障率</w:t>
            </w:r>
          </w:p>
          <w:p>
            <w:pPr>
              <w:spacing w:line="300" w:lineRule="exact"/>
              <w:jc w:val="left"/>
              <w:rPr>
                <w:rFonts w:ascii="Times New Roman" w:hAnsi="Times New Roman" w:eastAsia="仿宋_GB2312" w:cs="Times New Roman"/>
                <w:kern w:val="2"/>
                <w:sz w:val="21"/>
                <w:szCs w:val="22"/>
                <w:lang w:val="en-US" w:eastAsia="zh-CN" w:bidi="ar-SA"/>
              </w:rPr>
            </w:pPr>
          </w:p>
        </w:tc>
        <w:tc>
          <w:tcPr>
            <w:tcW w:w="2916"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实际服务次数/计划服务次数</w:t>
            </w:r>
          </w:p>
        </w:tc>
        <w:tc>
          <w:tcPr>
            <w:tcW w:w="1836"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100百分比</w:t>
            </w:r>
          </w:p>
        </w:tc>
        <w:tc>
          <w:tcPr>
            <w:tcW w:w="3233"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派车单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57"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60"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160"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p>
            <w:pPr>
              <w:spacing w:line="300" w:lineRule="exact"/>
              <w:jc w:val="left"/>
              <w:rPr>
                <w:rFonts w:ascii="Times New Roman" w:hAnsi="Times New Roman" w:eastAsia="仿宋_GB2312" w:cs="Times New Roman"/>
                <w:kern w:val="2"/>
                <w:sz w:val="21"/>
                <w:szCs w:val="22"/>
                <w:lang w:val="en-US" w:eastAsia="zh-CN" w:bidi="ar-SA"/>
              </w:rPr>
            </w:pPr>
          </w:p>
        </w:tc>
        <w:tc>
          <w:tcPr>
            <w:tcW w:w="2916"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p>
            <w:pPr>
              <w:spacing w:line="300" w:lineRule="exact"/>
              <w:jc w:val="left"/>
              <w:rPr>
                <w:rFonts w:ascii="Times New Roman" w:hAnsi="Times New Roman" w:eastAsia="仿宋_GB2312" w:cs="Times New Roman"/>
                <w:kern w:val="2"/>
                <w:sz w:val="21"/>
                <w:szCs w:val="22"/>
                <w:lang w:val="en-US" w:eastAsia="zh-CN" w:bidi="ar-SA"/>
              </w:rPr>
            </w:pPr>
          </w:p>
        </w:tc>
        <w:tc>
          <w:tcPr>
            <w:tcW w:w="1836"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≥90百分比</w:t>
            </w:r>
          </w:p>
        </w:tc>
        <w:tc>
          <w:tcPr>
            <w:tcW w:w="3233"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满意度调查表</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.非物质文化遗产保护专项资金绩效目标表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084"/>
        <w:gridCol w:w="2412"/>
        <w:gridCol w:w="3684"/>
        <w:gridCol w:w="1318"/>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ascii="Times New Roman" w:hAnsi="Times New Roman" w:eastAsia="仿宋_GB2312" w:cs="Times New Roman"/>
                <w:b/>
              </w:rPr>
            </w:pPr>
            <w:r>
              <w:rPr>
                <w:rFonts w:ascii="Times New Roman" w:hAnsi="Times New Roman" w:eastAsia="仿宋_GB2312" w:cs="Times New Roman"/>
                <w:b/>
                <w:bCs/>
                <w:kern w:val="2"/>
                <w:sz w:val="21"/>
                <w:szCs w:val="22"/>
                <w:lang w:val="en-US" w:eastAsia="zh-CN" w:bidi="ar-SA"/>
              </w:rPr>
              <w:t>通过省级代表性传承人开展传习活动，推动非遗传承保护。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6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84"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2412"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补助省级代表性传承人传习活动人数</w:t>
            </w:r>
          </w:p>
          <w:p>
            <w:pPr>
              <w:pStyle w:val="14"/>
              <w:rPr>
                <w:rFonts w:ascii="Times New Roman" w:hAnsi="Times New Roman" w:eastAsia="仿宋_GB2312" w:cs="Times New Roman"/>
                <w:kern w:val="2"/>
                <w:sz w:val="21"/>
                <w:szCs w:val="22"/>
                <w:lang w:val="en-US" w:eastAsia="zh-CN" w:bidi="ar-SA"/>
              </w:rPr>
            </w:pPr>
          </w:p>
        </w:tc>
        <w:tc>
          <w:tcPr>
            <w:tcW w:w="3684"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反映补助省级代表性传承人传习活动人数</w:t>
            </w:r>
          </w:p>
        </w:tc>
        <w:tc>
          <w:tcPr>
            <w:tcW w:w="131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1人</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84"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2412"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省级代表性传承人传习活动补助发放到位率</w:t>
            </w:r>
          </w:p>
          <w:p>
            <w:pPr>
              <w:pStyle w:val="14"/>
              <w:rPr>
                <w:rFonts w:ascii="Times New Roman" w:hAnsi="Times New Roman" w:eastAsia="仿宋_GB2312" w:cs="Times New Roman"/>
                <w:kern w:val="2"/>
                <w:sz w:val="21"/>
                <w:szCs w:val="22"/>
                <w:lang w:val="en-US" w:eastAsia="zh-CN" w:bidi="ar-SA"/>
              </w:rPr>
            </w:pPr>
          </w:p>
        </w:tc>
        <w:tc>
          <w:tcPr>
            <w:tcW w:w="3684"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反映省级代表性传承人传习活动补助发放到位率</w:t>
            </w:r>
          </w:p>
        </w:tc>
        <w:tc>
          <w:tcPr>
            <w:tcW w:w="131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≥90百分比</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84"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2412"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全年1-12月完成</w:t>
            </w:r>
          </w:p>
          <w:p>
            <w:pPr>
              <w:pStyle w:val="14"/>
              <w:rPr>
                <w:rFonts w:ascii="Times New Roman" w:hAnsi="Times New Roman" w:eastAsia="仿宋_GB2312" w:cs="Times New Roman"/>
                <w:kern w:val="2"/>
                <w:sz w:val="21"/>
                <w:szCs w:val="22"/>
                <w:lang w:val="en-US" w:eastAsia="zh-CN" w:bidi="ar-SA"/>
              </w:rPr>
            </w:pPr>
          </w:p>
        </w:tc>
        <w:tc>
          <w:tcPr>
            <w:tcW w:w="3684"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全年1-12月完成100%</w:t>
            </w:r>
          </w:p>
        </w:tc>
        <w:tc>
          <w:tcPr>
            <w:tcW w:w="131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100百分比</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084"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2412"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非物质文化遗产保护单个成本</w:t>
            </w:r>
          </w:p>
          <w:p>
            <w:pPr>
              <w:pStyle w:val="14"/>
              <w:rPr>
                <w:rFonts w:ascii="Times New Roman" w:hAnsi="Times New Roman" w:eastAsia="仿宋_GB2312" w:cs="Times New Roman"/>
                <w:kern w:val="2"/>
                <w:sz w:val="21"/>
                <w:szCs w:val="22"/>
                <w:lang w:val="en-US" w:eastAsia="zh-CN" w:bidi="ar-SA"/>
              </w:rPr>
            </w:pPr>
          </w:p>
        </w:tc>
        <w:tc>
          <w:tcPr>
            <w:tcW w:w="3684"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反映非物质文化遗产保护单个成本</w:t>
            </w:r>
          </w:p>
        </w:tc>
        <w:tc>
          <w:tcPr>
            <w:tcW w:w="131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≤0.6万元</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测算过程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84"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社会效益指标</w:t>
            </w:r>
          </w:p>
        </w:tc>
        <w:tc>
          <w:tcPr>
            <w:tcW w:w="2412"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非遗传承人群增长率</w:t>
            </w:r>
          </w:p>
          <w:p>
            <w:pPr>
              <w:pStyle w:val="14"/>
              <w:rPr>
                <w:rFonts w:ascii="Times New Roman" w:hAnsi="Times New Roman" w:eastAsia="仿宋_GB2312" w:cs="Times New Roman"/>
                <w:kern w:val="2"/>
                <w:sz w:val="21"/>
                <w:szCs w:val="22"/>
                <w:lang w:val="en-US" w:eastAsia="zh-CN" w:bidi="ar-SA"/>
              </w:rPr>
            </w:pPr>
          </w:p>
        </w:tc>
        <w:tc>
          <w:tcPr>
            <w:tcW w:w="3684"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反映非遗传承人群增长率</w:t>
            </w:r>
          </w:p>
        </w:tc>
        <w:tc>
          <w:tcPr>
            <w:tcW w:w="1318"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100百分比</w:t>
            </w:r>
          </w:p>
        </w:tc>
        <w:tc>
          <w:tcPr>
            <w:tcW w:w="2155" w:type="dxa"/>
            <w:shd w:val="clear" w:color="auto" w:fill="auto"/>
            <w:vAlign w:val="center"/>
          </w:tcPr>
          <w:p>
            <w:pPr>
              <w:pStyle w:val="14"/>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活动资料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84"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2412" w:type="dxa"/>
            <w:shd w:val="clear" w:color="auto" w:fill="auto"/>
            <w:vAlign w:val="center"/>
          </w:tcPr>
          <w:p>
            <w:pPr>
              <w:pStyle w:val="14"/>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社会公众对非物质文化遗产保护满意度</w:t>
            </w:r>
          </w:p>
          <w:p>
            <w:pPr>
              <w:spacing w:line="300" w:lineRule="exact"/>
              <w:jc w:val="center"/>
              <w:rPr>
                <w:rFonts w:ascii="Times New Roman" w:hAnsi="Times New Roman" w:eastAsia="仿宋_GB2312" w:cs="Times New Roman"/>
                <w:kern w:val="2"/>
                <w:sz w:val="21"/>
                <w:szCs w:val="22"/>
                <w:lang w:val="en-US" w:eastAsia="zh-CN" w:bidi="ar-SA"/>
              </w:rPr>
            </w:pPr>
          </w:p>
        </w:tc>
        <w:tc>
          <w:tcPr>
            <w:tcW w:w="3684" w:type="dxa"/>
            <w:shd w:val="clear" w:color="auto" w:fill="auto"/>
            <w:vAlign w:val="center"/>
          </w:tcPr>
          <w:p>
            <w:pPr>
              <w:spacing w:line="300" w:lineRule="exact"/>
              <w:jc w:val="center"/>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反映社会公众对非物质文化遗产保护满意度</w:t>
            </w:r>
          </w:p>
        </w:tc>
        <w:tc>
          <w:tcPr>
            <w:tcW w:w="1318"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≥90百分比</w:t>
            </w:r>
          </w:p>
        </w:tc>
        <w:tc>
          <w:tcPr>
            <w:tcW w:w="2155" w:type="dxa"/>
            <w:shd w:val="clear" w:color="auto" w:fill="auto"/>
            <w:vAlign w:val="center"/>
          </w:tcPr>
          <w:p>
            <w:pPr>
              <w:spacing w:line="300" w:lineRule="exact"/>
              <w:jc w:val="lef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满意度调查表</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outlineLvl w:val="1"/>
        <w:rPr>
          <w:rFonts w:ascii="方正小标宋_GBK" w:eastAsia="方正小标宋_GBK" w:cs="Times New Roman"/>
          <w:sz w:val="32"/>
        </w:rPr>
      </w:pPr>
      <w:r>
        <w:rPr>
          <w:rFonts w:hint="eastAsia"/>
          <w:lang w:eastAsia="zh-CN"/>
        </w:rPr>
        <w:t>河北省三河市文化馆</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rPr>
          <w:rFonts w:ascii="方正仿宋_GBK" w:hAnsi="方正仿宋_GBK" w:eastAsia="方正仿宋_GBK" w:cs="方正仿宋_GBK"/>
          <w:color w:val="000000"/>
        </w:rPr>
      </w:pPr>
    </w:p>
    <w:p>
      <w:pPr>
        <w:spacing w:line="500" w:lineRule="exact"/>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河北省三河市文化馆</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403.67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河北省三河市文化馆</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406.67</w:t>
            </w:r>
            <w:bookmarkStart w:id="3" w:name="_GoBack"/>
            <w:bookmarkEnd w:id="3"/>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1176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1176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16.75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286.92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ArialUnicodeMS">
    <w:altName w:val="Dotum"/>
    <w:panose1 w:val="00000000000000000000"/>
    <w:charset w:val="81"/>
    <w:family w:val="auto"/>
    <w:pitch w:val="default"/>
    <w:sig w:usb0="00000000" w:usb1="00000000" w:usb2="00000010" w:usb3="00000000" w:csb0="00080001" w:csb1="00000000"/>
  </w:font>
  <w:font w:name="Dotum">
    <w:panose1 w:val="020B0600000101010101"/>
    <w:charset w:val="81"/>
    <w:family w:val="auto"/>
    <w:pitch w:val="default"/>
    <w:sig w:usb0="B00002AF" w:usb1="69D77CFB" w:usb2="00000030" w:usb3="00000000" w:csb0="4008009F" w:csb1="DFD7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C873D7"/>
    <w:multiLevelType w:val="singleLevel"/>
    <w:tmpl w:val="0EC873D7"/>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E5891"/>
    <w:rsid w:val="0025632D"/>
    <w:rsid w:val="004A54AA"/>
    <w:rsid w:val="005A2FBD"/>
    <w:rsid w:val="00875CF4"/>
    <w:rsid w:val="00944233"/>
    <w:rsid w:val="00B40732"/>
    <w:rsid w:val="00B80935"/>
    <w:rsid w:val="00D347CC"/>
    <w:rsid w:val="03353615"/>
    <w:rsid w:val="0AE54A6A"/>
    <w:rsid w:val="0CEE31B2"/>
    <w:rsid w:val="164756E1"/>
    <w:rsid w:val="166D59E0"/>
    <w:rsid w:val="17911818"/>
    <w:rsid w:val="1D820871"/>
    <w:rsid w:val="2AD543DB"/>
    <w:rsid w:val="2BE24F71"/>
    <w:rsid w:val="2CA85E7E"/>
    <w:rsid w:val="3A7F0750"/>
    <w:rsid w:val="3C055B17"/>
    <w:rsid w:val="3C6A3D54"/>
    <w:rsid w:val="4CCC3D4E"/>
    <w:rsid w:val="52A25A68"/>
    <w:rsid w:val="55693AAE"/>
    <w:rsid w:val="567B3829"/>
    <w:rsid w:val="56983779"/>
    <w:rsid w:val="57C245EC"/>
    <w:rsid w:val="59155B0C"/>
    <w:rsid w:val="5E514E73"/>
    <w:rsid w:val="646E14EC"/>
    <w:rsid w:val="656A1A03"/>
    <w:rsid w:val="68F93BE6"/>
    <w:rsid w:val="7AE752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before="0" w:beforeLines="0" w:after="0" w:afterLines="0" w:line="500" w:lineRule="exact"/>
      <w:ind w:firstLine="560"/>
      <w:jc w:val="left"/>
      <w:outlineLvl w:val="9"/>
    </w:pPr>
    <w:rPr>
      <w:sz w:val="28"/>
    </w:rPr>
  </w:style>
  <w:style w:type="paragraph" w:customStyle="1" w:styleId="20">
    <w:name w:val="插入文本样式-插入职责分类绩效目标文件"/>
    <w:basedOn w:val="1"/>
    <w:qFormat/>
    <w:uiPriority w:val="0"/>
    <w:pPr>
      <w:spacing w:before="0" w:beforeLines="0" w:after="0" w:afterLines="0" w:line="500" w:lineRule="exact"/>
      <w:ind w:firstLine="560"/>
      <w:jc w:val="left"/>
      <w:outlineLvl w:val="9"/>
    </w:pPr>
    <w:rPr>
      <w:sz w:val="28"/>
    </w:rPr>
  </w:style>
  <w:style w:type="paragraph" w:customStyle="1" w:styleId="21">
    <w:name w:val="插入文本样式-插入实现年度发展规划目标的保障措施文件"/>
    <w:basedOn w:val="1"/>
    <w:qFormat/>
    <w:uiPriority w:val="0"/>
    <w:pPr>
      <w:spacing w:before="0" w:beforeLines="0" w:after="0" w:afterLines="0" w:line="500" w:lineRule="exact"/>
      <w:ind w:firstLine="560"/>
      <w:jc w:val="left"/>
      <w:outlineLvl w:val="9"/>
    </w:pPr>
    <w:rPr>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503</Words>
  <Characters>2873</Characters>
  <Lines>23</Lines>
  <Paragraphs>6</Paragraphs>
  <TotalTime>2</TotalTime>
  <ScaleCrop>false</ScaleCrop>
  <LinksUpToDate>false</LinksUpToDate>
  <CharactersWithSpaces>3370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Misss~R</cp:lastModifiedBy>
  <cp:lastPrinted>2018-01-30T06:12:00Z</cp:lastPrinted>
  <dcterms:modified xsi:type="dcterms:W3CDTF">2022-03-03T01:39:36Z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7A8D7B4495A349858CA9AAA5D5C0AEBE</vt:lpwstr>
  </property>
</Properties>
</file>